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Arial" w:cs="Arial" w:eastAsia="Arial" w:hAnsi="Arial"/>
          <w:sz w:val="60"/>
          <w:szCs w:val="60"/>
        </w:rPr>
      </w:pPr>
      <w:r w:rsidDel="00000000" w:rsidR="00000000" w:rsidRPr="00000000">
        <w:rPr>
          <w:rFonts w:ascii="Arial" w:cs="Arial" w:eastAsia="Arial" w:hAnsi="Arial"/>
          <w:sz w:val="60"/>
          <w:szCs w:val="60"/>
        </w:rPr>
        <w:drawing>
          <wp:inline distB="114300" distT="114300" distL="114300" distR="114300">
            <wp:extent cx="5760000" cy="1054100"/>
            <wp:effectExtent b="0" l="0" r="0" t="0"/>
            <wp:docPr descr="AVVR01.jpg" id="1" name="image2.jpg"/>
            <a:graphic>
              <a:graphicData uri="http://schemas.openxmlformats.org/drawingml/2006/picture">
                <pic:pic>
                  <pic:nvPicPr>
                    <pic:cNvPr descr="AVVR01.jpg" id="0" name="image2.jpg"/>
                    <pic:cNvPicPr preferRelativeResize="0"/>
                  </pic:nvPicPr>
                  <pic:blipFill>
                    <a:blip r:embed="rId6"/>
                    <a:srcRect b="0" l="0" r="0" t="0"/>
                    <a:stretch>
                      <a:fillRect/>
                    </a:stretch>
                  </pic:blipFill>
                  <pic:spPr>
                    <a:xfrm>
                      <a:off x="0" y="0"/>
                      <a:ext cx="5760000" cy="1054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60"/>
          <w:szCs w:val="60"/>
        </w:rPr>
      </w:pPr>
      <w:r w:rsidDel="00000000" w:rsidR="00000000" w:rsidRPr="00000000">
        <w:rPr>
          <w:rFonts w:ascii="Arial" w:cs="Arial" w:eastAsia="Arial" w:hAnsi="Arial"/>
          <w:b w:val="1"/>
          <w:sz w:val="60"/>
          <w:szCs w:val="60"/>
          <w:rtl w:val="0"/>
        </w:rPr>
        <w:t xml:space="preserve">Política de preservação digital para documentos de arquivo da Unesp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Documento elaborado pela comissão constituída e instruída através da Portaria Unesp-81, de 1-3-2016.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comissão foi composta pelos seguintes membros: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José Carlos Abbud Gracio – FFC / Câmpus de Marília (presidente)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Clériston Aparecido Gomes Martinelo - FCF/ Araraquara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Flávia Maria Bastos - CGB / Reitoria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José Remo Ferreira Brega - FC/ Bauru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Maria Blassioli Moraes - CADA/ Reitoria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Maria Leandra Bizello-  FFC/ Câmpus de Marília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Melyssa Claudia Falchi Tomasini - Assessoria Jurídica/ Reitoria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Sônia Maria Troitiño Rodrigues - FFC/ Câmpus de Marília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Telma Campanha de Carvalho Madio - FFC/ Câmpus de Marília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Vagner Roberto de Moraes - IB/ Câmpus de Rio Claro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São Paulo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Dezembro - 2017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28"/>
          <w:szCs w:val="28"/>
        </w:rPr>
      </w:pPr>
      <w:r w:rsidDel="00000000" w:rsidR="00000000" w:rsidRPr="00000000">
        <w:rPr>
          <w:rFonts w:ascii="Arial" w:cs="Arial" w:eastAsia="Arial" w:hAnsi="Arial"/>
          <w:sz w:val="24"/>
          <w:szCs w:val="24"/>
          <w:rtl w:val="0"/>
        </w:rPr>
        <w:t xml:space="preserve">Versão 1.0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8"/>
          <w:szCs w:val="28"/>
          <w:rtl w:val="0"/>
        </w:rPr>
        <w:t xml:space="preserve">Índice</w:t>
      </w:r>
      <w:r w:rsidDel="00000000" w:rsidR="00000000" w:rsidRPr="00000000">
        <w:rPr>
          <w:rtl w:val="0"/>
        </w:rPr>
      </w:r>
    </w:p>
    <w:tbl>
      <w:tblPr>
        <w:tblStyle w:val="Table1"/>
        <w:tblW w:w="769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315"/>
        <w:gridCol w:w="1380"/>
        <w:tblGridChange w:id="0">
          <w:tblGrid>
            <w:gridCol w:w="6315"/>
            <w:gridCol w:w="1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Contexto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Compromisso Institucional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Objetivos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Diretrizes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Cultura Organizacional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Tecnologias de Informação e Comunicação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Fundamentos Legais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Procedimentos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Responsabilidades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Recursos Financeiros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Atos Administrativos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Direitos Autorais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Avaliação, seleção e eliminação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Modelos de referência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Padrões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Metadados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Infraestrutura tecnológica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Repositórios digitais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Estratégias de preservação digital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Suporte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Modelo Processual de Preservação Digital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Iniciativas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Bibliografia consultada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279.2125984251969" w:hanging="285"/>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Contexto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Universidade Estadual Paulista “Júlio de Mesquita Filho” - Unesp foi criada em 1976, pelo Governo do Estado de São Paulo, a partir da reunião de institutos isolados de ensino superior que existiam em diversas cidades do Estado.  Hoje a Universidade se encontra presente em 24 municípios e apresenta uma estrutura baseada no modelo multicampi, sendo composta por 34 unidades, espalhadas pelo interior, litoral e capital paulista.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reunião dos documentos decorrentes das funções e atividades de cada uma dessas estruturas administrativas que compõem a Unesp conforma seu sistema de arquivos.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das transformações da contemporaneidade, na forma em se registrar informações e gerir documentos, novos recursos tecnológicos têm surgido de modo a viabilizar ações e perpetuar a memória institucional. Representam mudanças culturais no desempenho das rotinas de trabalho, no desenvolvimento de atividades e na expedição de seus documentos correspondentes.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crescente uso de documentos eletrônicos e captura de documentos convencionais, geram objetos digitais, que representam um desafio para a administração, do ponto de vista da garantia de manutenção de sua autenticidade e preservação das informações registradas.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instituições contemporâneas e os sujeitos organizacionais incorporaram as Tecnologias de Informação e Comunicação (TIC) para desempenhar suas atividades e tarefas cotidianas, estabelecendo-se assim uma dependência natural em relação à informação armazenada em meio digital.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o desenvolvimento e avanço das TIC, surgem problemas específicos como, por exemplo, a obsolescência tecnológica de equipamentos, de sistemas computacionais, de suportes de armazenamento, de acesso e recuperação, além da quantidade de informação armazenada nesse meio.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Nesse contexto temos a preservação digital, que pode ser entendida como os processos de gestão envolvidos na administração das atividades necessárias para garantir que um objeto digital possa ser acessado e utilizado no futuro, a partir das TIC existentes na época, e com garantias de autenticidade e integridade.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Desse modo, a preservação digital </w:t>
      </w:r>
      <w:r w:rsidDel="00000000" w:rsidR="00000000" w:rsidRPr="00000000">
        <w:rPr>
          <w:rFonts w:ascii="Arial" w:cs="Arial" w:eastAsia="Arial" w:hAnsi="Arial"/>
          <w:sz w:val="24"/>
          <w:szCs w:val="24"/>
          <w:rtl w:val="0"/>
        </w:rPr>
        <w:t xml:space="preserve">resguarda</w:t>
      </w:r>
      <w:r w:rsidDel="00000000" w:rsidR="00000000" w:rsidRPr="00000000">
        <w:rPr>
          <w:rFonts w:ascii="Arial" w:cs="Arial" w:eastAsia="Arial" w:hAnsi="Arial"/>
          <w:sz w:val="24"/>
          <w:szCs w:val="24"/>
          <w:rtl w:val="0"/>
        </w:rPr>
        <w:t xml:space="preserve"> o patrimônio documental em formato digital de uma determinada organização, garantindo sua autenticidade, integridade e acesso futuro, e está inserida em um contexto de inter-relação com a cultura organizacional e com as TIC.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autenticidade é a qualidade que os documentos apresentam para atestar as informações neles registradas. Documentos autênticos mantêm sua identidade e integridade intactas ao longo do tempo, conferindo assim segurança em relação aos processos de produção, manutenção e guarda dos documentos, sem interferências que pudessem ocasionar dúvidas relacionadas aos conteúdos informacionais, aos suportes e técnicas de registro de informações ou recursos de validação.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Compromisso Institucional</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assume, estrategicamente, o compromisso de ser responsável pela preservação dos documentos de arquivo em formato digital sob sua responsabilidade, garantindo sua autenticidade, integridade e o acesso a longo prazo, respeitando os aspectos legais, técnicos, históricos e culturais, e implementando os processos necessários para sua continuidade.</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Objetivos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documento apresenta as diretrizes e procedimentos para a implantação da preservação digital de documentos de arquivo da Unesp, com o objetivo de garantir a autenticidade, integridade, preservação e acesso por um longo período de tempo, e a manutenção do seu valor jurídico, histórico e diplomático.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Também destaca a necessidade da existência de um repositório seguro e confiável para os documentos de arquivo nato digitais e digitalizados com valores históricos e permanentes.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política de preservação digital contempla os objetivos e as diretrizes, e orientará a elaboração do plano de ação e sua execução.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Diretrizes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diretrizes estão estabelecidas em um conjunto de princípios fundamentados na arquivologia, diplomática, documentação, tecnologias de informação e comunicação, preservação documental e legislação brasileira e </w:t>
      </w:r>
      <w:r w:rsidDel="00000000" w:rsidR="00000000" w:rsidRPr="00000000">
        <w:rPr>
          <w:rFonts w:ascii="Arial" w:cs="Arial" w:eastAsia="Arial" w:hAnsi="Arial"/>
          <w:sz w:val="24"/>
          <w:szCs w:val="24"/>
          <w:rtl w:val="0"/>
        </w:rPr>
        <w:t xml:space="preserve">normativas</w:t>
      </w:r>
      <w:r w:rsidDel="00000000" w:rsidR="00000000" w:rsidRPr="00000000">
        <w:rPr>
          <w:rFonts w:ascii="Arial" w:cs="Arial" w:eastAsia="Arial" w:hAnsi="Arial"/>
          <w:sz w:val="24"/>
          <w:szCs w:val="24"/>
          <w:rtl w:val="0"/>
        </w:rPr>
        <w:t xml:space="preserve"> internacionais. Seguem abaixo as diretrizes: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Assegurar o acesso aos documentos de arquivo em formato digital da Unesp, como fonte de prova e informação para a garantia de direitos;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Garantir a padronização, segundo normas arquivísticas, para assegurar as atividades e operações técnicas da gestão de documentos digitais desde a produção, tramitação, utilização, arquivamento e até sua destinação final;</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Atestar a confiabilidade e autenticidade dos documentos de arquivo em formato digital por meio de requisitos e metadados;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Garantir a segurança dos documentos digitais utilizando as melhores práticas de TIC de acordo com o desenvolvimento tecnológico;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Salvaguardar os direitos de propriedade intelectual;</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Prover os investimentos necessários para manutenção dos recursos humanos e tecnológicos;</w:t>
      </w:r>
    </w:p>
    <w:p w:rsidR="00000000" w:rsidDel="00000000" w:rsidP="00000000" w:rsidRDefault="00000000" w:rsidRPr="00000000">
      <w:pPr>
        <w:numPr>
          <w:ilvl w:val="0"/>
          <w:numId w:val="4"/>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Promover a cooperação entre instituições.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Cultura Organizacional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Cultura Organizacional está baseada em diversos componentes compartilhados em uma instituição, os quais condicionam e direcionam a ação de seus membros e grupos, através principalmente da linguagem verbal, de atos comportamentais e de artefatos físicos. Relaciona-se aos elementos de compartilhamento de conhecimento e experiências entre o grupo, que por meio do aprendizado definiu o que é válido e deve ser passado a outras pessoas que venham a fazer parte do grupo, com o objetivo de resolver problemas que possam surgir ao longo do tempo.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parte dessa cultura, temos a informação, que circula e é utilizada pelos indivíduos do grupo, estabelecendo hábitos e procedimentos, que mostram aos membros da organização a relevância dessa informação e, como tal, pode ser utilizada como meio para alcançar os objetivos finais da instituição.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missão da Unesp é promover o Ensino, a Pesquisa e a Extensão voltados para a comunidade e também o conhecimento e a percepção que seus membros – docentes, discentes e técnicos administrativos – têm e apreendem da própria instituição. A disseminação desses valores e conhecimentos passa pelo comportamento informacional e pela cultura das pessoas e da organização em relação à forma pela qual a informação pode ser transformada em conhecimento e esse novamente em informação.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Política de Preservação Digital é o primeiro passo para o desenvolvimento de produtos e serviços relacionados a hardware, software e à comunicação que permitirão a interação entre pessoas e entre pessoas e máquinas, utilizando tecnologias novas e avançadas, que assegurarão a autenticidade, confiabilidade e rapidez nas rotinas documentais e informacionais da instituição. Portanto, sua implementação e êxito dependem do fator humano que determinará sua utilização adequada e plena incorporação na Cultura Organizacional.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tanto, faz-se necessário um melhor ambiente informacional, onde as novas práticas e tecnologias precisam ser compartilhadas, havendo a assimilação desses novos procedimentos através da divulgação e capacitação dos membros dos grupos da instituição.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Cultura Organizacional influencia como as instituições desenvolvem seus objetivos e processos determinando a plena assimilação de novos padrões ou a continuidade de métodos antigos.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Tecnologias de Informação e Comunicação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Considera-se Tecnologias de Informação e Comunicação (TIC) o conjunto de recursos tecnológicos integrados entre si, que proporcionam, por meio das funções de hardware, software e telecomunicações, a automação e comunicação dos processos, da pesquisa científica, de ensino, extensão e de gestão. (Portaria Unesp nº 385, de 25/06/2012)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mudanças e avanços rápidos e constantes nas TIC, como a obsolescência do hardware e do software, as mudanças nos formatos e nos suportes, entre outras, influenciam os processos envolvidos na preservação digital.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deve assegurar os recursos tecnológicos necessários e o pessoal de Tecnologia da Informação (TI) para a gestão desses recursos, um monitoramento constante das mudanças e avanços das TIC e aplicar as estratégias necessárias para manter a autenticidade, integridade e acesso aos documentos de arquivo em formato digital afetados.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Fundamentos Legais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estabelecimento da política de preservação digital de documentos de arquivo da Unesp encontra alicerce, dentre outros diplomas: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Constituição Federal (art. 5º, XXXIII; art. 37, § 3º, II; art. 216, § 2º), na medida em que cabe a Unesp, na condição de ente público, a gestão de documentos de arquivo em formato digital e a adoção de providências para franquear sua consulta a quantos deles necessitem, assegurando, com isso, o acesso a informações;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Lei nº 8.159/91, que dispõe sobre a política nacional de arquivos públicos e privados, estabelecendo que é dever do Poder Público a gestão documental e a proteção especial a documentos de arquivos, como instrumento de apoio à administração, à cultura, ao desenvolvimento científico e como elementos de prova e informação;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Lei nº 12.527/2011 e no Decreto estadual nº 58.052/2012, que disciplinam o acesso a informações;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Decreto estadual nº 48.897/2004, que dispõe sobre os arquivos públicos, os documentos de arquivo e sua gestão, os planos de classificação e a tabela de temporalidade de documentos da Administração Pública do Estado de São Paulo, definindo normas para a avaliação, guarda e eliminação de documentos de arquivo;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Instrução Normativa APE/SAESP nº 1/2009, que estabelece diretrizes e define procedimentos para a gestão, a preservação e o acesso contínuo aos documentos de arquivo em formato digital da Administração Pública Estadual Direta e Indireta;</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Resolução Unesp nº 62/2015, que aprovou o plano de classificação de documentos e a tabela de temporalidade de documentos da Unesp: atividades-meio;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Lei nº 12.682/2012, que dispõe sobre a elaboração e o arquivamento de documentos em meios eletromagnéticos;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Lei nº 9.610/1998, que dispõe sobre direitos autorais;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nas recomendações do Conselho Nacional de Arquivos – CONARQ, em especial, a Resolução nº 37/2012 e a Resolução nº 39/2014 (com redação dada pela Resolução nº 43/2015);</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 Portaria Unesp nº 81/2016, que instituiu Comissão especialmente encarregada de desenvolver estudos e apresentar proposta de política de preservação digital de documentos de arquivo;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 demais atos normativos que versem e venham a ser editados sobre o assunto.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Procedimentos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Reitoria e as Unidades deverão adequar seus processos de trabalho em conformidade com os procedimentos a serem estabelecidos.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deverá criar e manter Comissão Permanente de Preservação Digital responsável pela gestão da política de preservação digital de documentos de arquivo e de outros objetos digitais, que deverá:</w:t>
      </w:r>
    </w:p>
    <w:p w:rsidR="00000000" w:rsidDel="00000000" w:rsidP="00000000" w:rsidRDefault="00000000" w:rsidRPr="00000000">
      <w:pPr>
        <w:numPr>
          <w:ilvl w:val="0"/>
          <w:numId w:val="6"/>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 comissão assessora do Reitor e seus membros indicados pelo mesmo;</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ser composta, no mínimo, por profissionais das áreas de arquivologia, biblioteconomia, informática, ciência da informação, direito, e docentes, gestores acadêmicos e gestores administrativos da Universidade;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implementar a política de preservação digital;</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deliberar pelos ajustes necessários à política de preservação digital;</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trabalhar de forma integrada à política de gestão de documentos estabelecida pela Comissão de Avaliação de Documentos e Acesso da Unesp;</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definir e gerenciar os processos envolvidos na preservação digital;</w:t>
      </w:r>
    </w:p>
    <w:p w:rsidR="00000000" w:rsidDel="00000000" w:rsidP="00000000" w:rsidRDefault="00000000" w:rsidRPr="00000000">
      <w:pPr>
        <w:numPr>
          <w:ilvl w:val="0"/>
          <w:numId w:val="6"/>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revisar diretrizes e critérios a serem utilizados nos processos;</w:t>
      </w:r>
    </w:p>
    <w:p w:rsidR="00000000" w:rsidDel="00000000" w:rsidP="00000000" w:rsidRDefault="00000000" w:rsidRPr="00000000">
      <w:pPr>
        <w:numPr>
          <w:ilvl w:val="0"/>
          <w:numId w:val="6"/>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estabelecer e revisar periodicamente as tecnologias utilizadas;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propor parcerias com instituições nacionais e internacionais, no sentido de promover a troca de experiências e informações, com o objetivo de agilizar os processos;</w:t>
      </w:r>
    </w:p>
    <w:p w:rsidR="00000000" w:rsidDel="00000000" w:rsidP="00000000" w:rsidRDefault="00000000" w:rsidRPr="00000000">
      <w:pPr>
        <w:numPr>
          <w:ilvl w:val="0"/>
          <w:numId w:val="6"/>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definir as normas, políticas e padrões;</w:t>
      </w:r>
    </w:p>
    <w:p w:rsidR="00000000" w:rsidDel="00000000" w:rsidP="00000000" w:rsidRDefault="00000000" w:rsidRPr="00000000">
      <w:pPr>
        <w:numPr>
          <w:ilvl w:val="0"/>
          <w:numId w:val="6"/>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propor anualmente cronograma de ações;</w:t>
      </w:r>
    </w:p>
    <w:p w:rsidR="00000000" w:rsidDel="00000000" w:rsidP="00000000" w:rsidRDefault="00000000" w:rsidRPr="00000000">
      <w:pPr>
        <w:numPr>
          <w:ilvl w:val="0"/>
          <w:numId w:val="6"/>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definir as estratégias de preservação digital e de eliminação a serem aplicadas;</w:t>
      </w:r>
    </w:p>
    <w:p w:rsidR="00000000" w:rsidDel="00000000" w:rsidP="00000000" w:rsidRDefault="00000000" w:rsidRPr="00000000">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estabelecer as prioridades dos documentos de arquivo em formato digital a serem preservados;</w:t>
      </w:r>
    </w:p>
    <w:p w:rsidR="00000000" w:rsidDel="00000000" w:rsidP="00000000" w:rsidRDefault="00000000" w:rsidRPr="00000000">
      <w:pPr>
        <w:numPr>
          <w:ilvl w:val="0"/>
          <w:numId w:val="6"/>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criar equipes de especialistas para gestão dos processos, quando necessário.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Responsabilidades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preservação digital é responsabilidade do criador do documento de arquivo em formato digital, da Universidade e de todas as pessoas envolvidas nos processos de criação e manutenção desses documentos. Dessa forma, as responsabilidades deverão envolver questões técnicas, legais, administrativas e informacionais.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Comissão Permanente de Preservação Digital deverá definir uma estrutura e equipes multidisciplinares para promover a gestão dos documentos de arquivo em formato digital a serem preservados e definir o papel de cada um dos envolvidos nos processos de preservação digital, com o objetivo de identificar e apontar responsabilidades.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administração da Unesp, juntamente com a Comissão Permanente de Preservação Digital, deverá definir os objetivos a serem alcançados para a preservação digital.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instâncias jurídicas da Unesp devem resguardar a instituição, orientando os envolvidos nos processos de preservação digital, nas questões legais e de direitos autorais.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equipe  de TI da universidade, deve definir os responsáveis pelas questões técnicas que envolvem as especificidades de cada documento, assim como os profissionais envolvidos na representação dos documentos de arquivo.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Recursos financeiros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preservação digital é uma atividade que requer disponibilidade constante de recursos financeiros, pois envolve investimentos permanentes em tecnologia, infraestrutura e capacitação de pessoal. Esses investimentos buscam preservar informações que atendem a questões legais, históricas, culturais e a produção científica e acadêmica da Unesp.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deverá definir estratégias de investimentos nos processos envolvidos na preservação digital, com objetivo de atender as demandas de capacitação profissional dos envolvidos, montagem da estrutura organizacional, manutenção da infraestrutura tecnológica e adequação às exigências das novas TIC.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Atos administrativos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atos administrativos buscam adequar a Unesp a suas finalidades, características e à sua cultura organizacional, com o objetivo de regulamentar e disseminar os padrões de conduta para a preservação dos documentos de arquivo em formato digital.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Comissão Permanente de Preservação Digital deverá propor atos administrativos, em consonância à legislação brasileira e às diretrizes nacionais e internacionais, normatizando os processos definidos para a preservação dos documentos de arquivo em formato digital.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Direitos Autorais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estratégias de preservação digital, a serem aplicadas, devem prever o resguardo dos direitos autorais dos envolvidos, conforme legislação em vigor.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Avaliação, seleção e eliminação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avaliação, seleção e eliminação dos documentos de arquivo em formato digital deverão seguir a política de gestão de documentos, respeitando os critérios dos planos de classificação e a tabela de temporalidade de documentos da Unesp.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Modelos de referência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processos de preservação digital, que possibilitem que um sistema de informação possa atender os requisitos da preservação digital na Unesp, devem adotar modelos de referência aceitos e utilizados nas Instituições de Ensino Superior - IES. Os modelos devem atender os produtores da informação digital, os consumidores dessa informação e os gestores dos processos envolvidos.</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Padrões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Deverão ser utilizados, preferencialmente, formatos abertos, que permitam o entendimento e a conversão dos documentos de arquivo em formato digital para novos formatos, com o objetivo de facilitar a aplicação das estratégias de preservação digital.</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Metadados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Metadados são elementos que irão representar o documento de arquivo em formato digital por meio da descrição de seus atributos possibilitando a recuperação da informação, bem como, a gestão de recursos de informação, a propriedade de documentos e sua autenticidade garantindo a transferência de dados entre sistemas considerando sua preservação.</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Deverão ser adotados padrões de metadados que permitam o reuso, bem como, a interoperabilidade entre sistemas contemplando metadados gerais, descritivos, estruturais, técnicos, de direitos e identificadores persistentes visando a independência da plataforma, divulgação, transparência, suporte, e viabilidade.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deverá definir um perfil de aplicação que contemple a diversidade de documentos de arquivo em formato digital existentes no âmbito da Universidade. A Comissão Permanente de Preservação Digital é o órgão responsável por analisar e definir os metadados de preservação a serem utilizados e as estratégias de preenchimento.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metadados de preservação deverão acompanhar todo o ciclo de vida dos documentos de arquivo digital, registrando as estratégias aplicadas e as mudanças ocorridas. Deverão garantir seu reuso juntamente com os demais padrões adotados em seus sistemas.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Infraestrutura tecnológica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deverá montar uma infraestrutura tecnológica, composta por hardware, software e tecnologias de informação e comunicação, necessária para atender adequadamente a cada fase da vida de um documento de arquivo em formato digital e garantir, além da preservação, sua disponibilidade para busca, recuperação e acesso.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atender esse objetivo, deverá possuir dois ambientes tecnológicos: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sz w:val="24"/>
          <w:szCs w:val="24"/>
          <w:rtl w:val="0"/>
        </w:rPr>
        <w:t xml:space="preserve">Ambiente de preservação: infraestrutura para preservação dos documentos de arquivo em formato digital </w:t>
      </w:r>
      <w:r w:rsidDel="00000000" w:rsidR="00000000" w:rsidRPr="00000000">
        <w:rPr>
          <w:rFonts w:ascii="Arial" w:cs="Arial" w:eastAsia="Arial" w:hAnsi="Arial"/>
          <w:sz w:val="24"/>
          <w:szCs w:val="24"/>
          <w:rtl w:val="0"/>
        </w:rPr>
        <w:t xml:space="preserve">e seus metadados;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Ambiente </w:t>
      </w:r>
      <w:r w:rsidDel="00000000" w:rsidR="00000000" w:rsidRPr="00000000">
        <w:rPr>
          <w:rFonts w:ascii="Arial" w:cs="Arial" w:eastAsia="Arial" w:hAnsi="Arial"/>
          <w:sz w:val="24"/>
          <w:szCs w:val="24"/>
          <w:rtl w:val="0"/>
        </w:rPr>
        <w:t xml:space="preserve">de acesso: infraestrutura com o documentos de arquivo em formato digital para distribuição, para atender às pesquisas realizadas pelas pessoas na b</w:t>
      </w:r>
      <w:r w:rsidDel="00000000" w:rsidR="00000000" w:rsidRPr="00000000">
        <w:rPr>
          <w:rFonts w:ascii="Arial" w:cs="Arial" w:eastAsia="Arial" w:hAnsi="Arial"/>
          <w:sz w:val="24"/>
          <w:szCs w:val="24"/>
          <w:rtl w:val="0"/>
        </w:rPr>
        <w:t xml:space="preserve">usca e recuperação das informações disponíveis nos objetos digitais.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Esses dois ambientes podem estar em infraestruturas tecnológicas distintas ou contidos na mesma infraestrutura.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área de informática deverá prover tecnologia e pessoal para a gestão dessa infraestrutura, a partir das necessidades apontadas pela Comissão Permanente de Preservação Digital.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Repositórios digitais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repositórios digitais são sistemas de informação que gerenciam e armazenam coleções de objetos digitais, entre eles os documentos de arquivo, por um longo período de tempo, provendo o acesso apropriado e atuando como provedores de dados. Desta forma, devem dispor de uma estrutura organizacional que apoie e reflita a estrutura, função e atividades da universidade visando suas relações internas e externas dos materiais digitais sob sua responsabilidade.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repositório digital deve ser confiável junto a sua comunidade alvo e para atingir esse objetivo deverá: manter a autenticidade dos documentos de arquivo em formato digital, preservando-os e garantindo seu acesso por um longo período de tempo; ser certificado; apresentar um plano de contingência que ofereça segurança para a informação; estar em conformidade com o modelo de referência Open Archival Information System - OAIS.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deverá adotar as diretrizes para implementação de repositórios digitais confiáveis estabelecidas pelo Conselho Nacional de Arquivos (CONARQ), através da sua Resolução n. 43, de 04/09/2015, para uma custódia confiável dos documentos de arquivo em formato digital armazenados nos repositórios digitais, garantindo assim sua preservação. Os repositórios digitais da Unesp deverão ser submetidos a auditorias periódicas para garantir sua confiabilidade.</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Estratégias de preservação digital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necessário que a Unesp adote estratégias de preservação digital</w:t>
      </w:r>
      <w:r w:rsidDel="00000000" w:rsidR="00000000" w:rsidRPr="00000000">
        <w:rPr>
          <w:rFonts w:ascii="Arial" w:cs="Arial" w:eastAsia="Arial" w:hAnsi="Arial"/>
          <w:sz w:val="24"/>
          <w:szCs w:val="24"/>
          <w:rtl w:val="0"/>
        </w:rPr>
        <w:t xml:space="preserve"> conforme características e especificidades de </w:t>
      </w:r>
      <w:r w:rsidDel="00000000" w:rsidR="00000000" w:rsidRPr="00000000">
        <w:rPr>
          <w:rFonts w:ascii="Arial" w:cs="Arial" w:eastAsia="Arial" w:hAnsi="Arial"/>
          <w:sz w:val="24"/>
          <w:szCs w:val="24"/>
          <w:rtl w:val="0"/>
        </w:rPr>
        <w:t xml:space="preserve">cada tipo de objeto digital, avaliando periodicamente as tecnologias existentes no momento, para determinar qual a melhor estratégia a ser implementada.</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estratégias de preservação digital devem ser aplicadas em todo o ciclo de vida do objeto digital, ou seja, na fase corrente (quando o objeto digital está em uso), intermediária (quando o objeto digital para de ser utilizado e aguarda o prazo legal) e permanente (quando termina o prazo legal, mas o objeto digital deve ser preservado).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equipe técnica deverá apontar as mudanças que estão ocorrendo no ambiente digital e propor as estratégias de preservação digital mais adequadas para essas mudanças. A Comissão Permanente de Preservação Digital deverá analisar e aprovar essas estratégias.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principais estratégias a serem utilizadas serão: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Refrescamento: transferir a informação digital de um suporte físico de armazenamento para outro mais atual;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Migração: transferir periodicamente um objeto digital de uma tecnologia de hardware e/ou software para outra mais atual, causados por avanços tecnológicos, necessidades de atualização de versões, conversão de formatos e outros.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Suporte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suporte pode ser definido como um dispositivo de armazenamento ou o meio físico no qual a informação digital está armazenada, independente do seu formato, como vídeo, som, dados, texto, gráficos, apresentações e outros.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suportes utilizados na preservação dos objetos digitais deverão atender as infraestruturas de preservação e de acesso, possibilitando a busca, recuperação e acesso desses objetos.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Modelo Processual de Preservação Digital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Unesp adotará um Modelo Processual de Preservação Digital composto de processos cíclicos e correlatos para a preservação no longo prazo dos objetos digitais sob sua responsabilidade.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Entende-se por processo as atividades envolvidas na preservação dos documentos de arquivo em formato digital.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processos </w:t>
      </w:r>
      <w:r w:rsidDel="00000000" w:rsidR="00000000" w:rsidRPr="00000000">
        <w:rPr>
          <w:rFonts w:ascii="Arial" w:cs="Arial" w:eastAsia="Arial" w:hAnsi="Arial"/>
          <w:sz w:val="24"/>
          <w:szCs w:val="24"/>
          <w:rtl w:val="0"/>
        </w:rPr>
        <w:t xml:space="preserve">tratarão </w:t>
      </w:r>
      <w:r w:rsidDel="00000000" w:rsidR="00000000" w:rsidRPr="00000000">
        <w:rPr>
          <w:rFonts w:ascii="Arial" w:cs="Arial" w:eastAsia="Arial" w:hAnsi="Arial"/>
          <w:sz w:val="24"/>
          <w:szCs w:val="24"/>
          <w:rtl w:val="0"/>
        </w:rPr>
        <w:t xml:space="preserve">os aspectos envolvidos na preservação digital e devem ser pautados desde a criação, seleção, organização, tratamento, armazenamento, distribuição e acesso aos objetos digitais preservados, monitorando continuamente as atividades, adaptando-as às mudanças de TIC e às necessidades da Unesp.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atividades envolvidas em cada processo serão definidas de acordo com o tipo de informação (científica, docência, extensão ou administrativa) e com o tipo do objeto digital (texto, imagem, vídeo, áudio e outros).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gestão dos processos ficará sob a responsabilidade da Comissão Permanente de Preservação Digital e de equipes de especialistas. Essas equipes serão responsáveis por executar as atividades estabelecidas para cada processo, sendo compostas por pessoas com conhecimento técnico e podendo ser temporárias.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279.2125984251969" w:hanging="285"/>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Iniciativas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a preservação digital envolve vários aspectos e preserva diversos tipos de documentos de arquivo em formato digital, a Unesp deve buscar parcerias com outras instituições com o objetivo de, através da troca de experiências, avançar na implantação dos processos necessários para preservação dos objetos digitais sob responsabilidade da Unesp.</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79.2125984251969" w:right="0" w:hanging="285"/>
        <w:contextualSpacing w:val="1"/>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Bibliografia consultada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ARELLANO, M. A. Preservação de documentos digitais. Ciência da Informação, Brasília, DF, v. 33, n. 2, p. 15-27, 2004. Disponível em: &lt;http://www.scielo.br/pdf/ci/v33n2/a02v33n2.pdf&gt;. Acesso em: 17 nov. 2017. DOI: 10.1590/S0100-19652004000200002.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CONSELHO NACIONAL DE ARQUIVOS – Conarq (Brasil). Resolução n. 43, de 4 de setembro de 2015. Diretrizes para a implementação de Repositórios Arquivísticos Digitais Confiáveis - RDC-Arq . Disponível em: http://www.conarq.gov.br/images/publicacoes_textos/diretrizes_rdc_arq.pdf. Acesso em: 12 dez.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GRÁCIO, J. C. A. Preservação digital na gestão da informação: um modelo processual para as instituições de ensino superior. São Paulo: Cultura Acadêmica, 2012. 218 p. Disponível em: https://repositorio.unesp.br/handle/11449/113727. Acesso em: 12 dez.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SANTOS, H. M.; FLORES, D. Repositórios digitais confiáveis para documentos arquivísticos: ponderações sobre a preservação em longo prazo. Perspect. ciênc. inf. [online]. 2015, vol.20, n.2, pp.198-218. ISSN 1981-5344.  http://dx.doi.org/10.1590/1981-5344/2341.</w:t>
      </w:r>
      <w:r w:rsidDel="00000000" w:rsidR="00000000" w:rsidRPr="00000000">
        <w:rPr>
          <w:rtl w:val="0"/>
        </w:rPr>
      </w:r>
    </w:p>
    <w:sectPr>
      <w:headerReference r:id="rId7" w:type="default"/>
      <w:headerReference r:id="rId8" w:type="first"/>
      <w:footerReference r:id="rId9" w:type="default"/>
      <w:footerReference r:id="rId10" w:type="first"/>
      <w:pgSz w:h="16838" w:w="11906"/>
      <w:pgMar w:bottom="1133.8582677165355" w:top="1700.7874015748032" w:left="1700.7874015748032"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300" w:line="240" w:lineRule="auto"/>
      <w:contextualSpacing w:val="0"/>
      <w:jc w:val="right"/>
      <w:rPr/>
    </w:pPr>
    <w:r w:rsidDel="00000000" w:rsidR="00000000" w:rsidRPr="00000000">
      <w:rPr>
        <w:rtl w:val="0"/>
      </w:rPr>
      <w:t xml:space="preserve">Política de preservação digital para documentos de arquivo da </w:t>
    </w:r>
    <w:r w:rsidDel="00000000" w:rsidR="00000000" w:rsidRPr="00000000">
      <w:rPr>
        <w:rtl w:val="0"/>
      </w:rPr>
      <w:t xml:space="preserve">Unesp</w:t>
    </w:r>
    <w:r w:rsidDel="00000000" w:rsidR="00000000" w:rsidRPr="00000000">
      <w:rPr>
        <w:rtl w:val="0"/>
      </w:rPr>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867708" cy="709613"/>
          <wp:effectExtent b="0" l="0" r="0" t="0"/>
          <wp:docPr descr="AVVR01.jpg" id="2" name="image4.jpg"/>
          <a:graphic>
            <a:graphicData uri="http://schemas.openxmlformats.org/drawingml/2006/picture">
              <pic:pic>
                <pic:nvPicPr>
                  <pic:cNvPr descr="AVVR01.jpg" id="0" name="image4.jpg"/>
                  <pic:cNvPicPr preferRelativeResize="0"/>
                </pic:nvPicPr>
                <pic:blipFill>
                  <a:blip r:embed="rId1"/>
                  <a:srcRect b="0" l="0" r="0" t="0"/>
                  <a:stretch>
                    <a:fillRect/>
                  </a:stretch>
                </pic:blipFill>
                <pic:spPr>
                  <a:xfrm>
                    <a:off x="0" y="0"/>
                    <a:ext cx="3867708" cy="709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